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E6917" w14:textId="5758B651" w:rsidR="00B57962" w:rsidRPr="00E402A8" w:rsidRDefault="00CC3C27" w:rsidP="00B57962">
      <w:pPr>
        <w:pStyle w:val="CRCoverPage"/>
        <w:tabs>
          <w:tab w:val="right" w:pos="9639"/>
        </w:tabs>
        <w:spacing w:after="0"/>
        <w:rPr>
          <w:b/>
          <w:i/>
          <w:noProof/>
          <w:sz w:val="28"/>
          <w:lang w:val="en-US"/>
        </w:rPr>
      </w:pPr>
      <w:bookmarkStart w:id="0" w:name="_Toc92513360"/>
      <w:bookmarkStart w:id="1" w:name="_Ref399006623"/>
      <w:r>
        <w:rPr>
          <w:b/>
          <w:noProof/>
          <w:sz w:val="24"/>
        </w:rPr>
        <w:t>3GPP TSG-RAN WG4 Meeting #79</w:t>
      </w:r>
      <w:r w:rsidR="00B57962" w:rsidRPr="00E402A8">
        <w:rPr>
          <w:b/>
          <w:i/>
          <w:noProof/>
          <w:sz w:val="24"/>
        </w:rPr>
        <w:t xml:space="preserve"> </w:t>
      </w:r>
      <w:r w:rsidR="00B57962" w:rsidRPr="00E402A8">
        <w:rPr>
          <w:b/>
          <w:i/>
          <w:noProof/>
          <w:sz w:val="28"/>
        </w:rPr>
        <w:tab/>
      </w:r>
      <w:r w:rsidR="006C0E5A" w:rsidRPr="006C0E5A">
        <w:rPr>
          <w:b/>
          <w:noProof/>
          <w:sz w:val="24"/>
        </w:rPr>
        <w:t>R4-163456</w:t>
      </w:r>
    </w:p>
    <w:p w14:paraId="23F26E6D" w14:textId="77777777" w:rsidR="00B57962" w:rsidRPr="00E402A8" w:rsidRDefault="00B57962" w:rsidP="00B57962">
      <w:pPr>
        <w:pStyle w:val="CRCoverPage"/>
        <w:outlineLvl w:val="0"/>
        <w:rPr>
          <w:b/>
          <w:noProof/>
          <w:sz w:val="24"/>
        </w:rPr>
      </w:pPr>
      <w:r>
        <w:rPr>
          <w:b/>
          <w:noProof/>
          <w:sz w:val="24"/>
        </w:rPr>
        <w:t>Nanjing, China</w:t>
      </w:r>
      <w:r w:rsidRPr="00E402A8">
        <w:rPr>
          <w:b/>
          <w:noProof/>
          <w:sz w:val="24"/>
        </w:rPr>
        <w:t xml:space="preserve">, </w:t>
      </w:r>
      <w:r>
        <w:rPr>
          <w:b/>
          <w:noProof/>
          <w:sz w:val="24"/>
        </w:rPr>
        <w:t>23</w:t>
      </w:r>
      <w:r w:rsidRPr="00E402A8">
        <w:rPr>
          <w:b/>
          <w:noProof/>
          <w:sz w:val="24"/>
        </w:rPr>
        <w:t>-</w:t>
      </w:r>
      <w:r>
        <w:rPr>
          <w:b/>
          <w:noProof/>
          <w:sz w:val="24"/>
        </w:rPr>
        <w:t>27</w:t>
      </w:r>
      <w:r w:rsidRPr="00E402A8">
        <w:rPr>
          <w:b/>
          <w:noProof/>
          <w:sz w:val="24"/>
        </w:rPr>
        <w:t xml:space="preserve"> </w:t>
      </w:r>
      <w:r>
        <w:rPr>
          <w:b/>
          <w:noProof/>
          <w:sz w:val="24"/>
        </w:rPr>
        <w:t>May</w:t>
      </w:r>
      <w:r w:rsidRPr="00E402A8">
        <w:rPr>
          <w:b/>
          <w:noProof/>
          <w:sz w:val="24"/>
        </w:rPr>
        <w:t>, 2016</w:t>
      </w:r>
    </w:p>
    <w:p w14:paraId="2683019F" w14:textId="77777777" w:rsidR="00B53ECC" w:rsidRDefault="00B53ECC" w:rsidP="00B53ECC">
      <w:pPr>
        <w:tabs>
          <w:tab w:val="left" w:pos="1985"/>
        </w:tabs>
        <w:spacing w:after="100" w:afterAutospacing="1"/>
        <w:jc w:val="both"/>
        <w:rPr>
          <w:b/>
          <w:noProof/>
          <w:sz w:val="24"/>
        </w:rPr>
      </w:pPr>
    </w:p>
    <w:p w14:paraId="0AE2092E" w14:textId="77777777"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9C12C8">
        <w:rPr>
          <w:rFonts w:ascii="Arial" w:hAnsi="Arial" w:cs="Arial"/>
          <w:sz w:val="22"/>
        </w:rPr>
        <w:t>Nokia</w:t>
      </w:r>
    </w:p>
    <w:p w14:paraId="1C86EA14" w14:textId="77777777" w:rsidR="00B53ECC" w:rsidRPr="00724BF9" w:rsidRDefault="00B53ECC" w:rsidP="00B53ECC">
      <w:pPr>
        <w:tabs>
          <w:tab w:val="left" w:pos="1985"/>
        </w:tabs>
        <w:jc w:val="both"/>
        <w:rPr>
          <w:rFonts w:ascii="Arial" w:hAnsi="Arial" w:cs="Arial"/>
          <w:b/>
          <w:sz w:val="22"/>
          <w:lang w:val="en-US"/>
        </w:rPr>
      </w:pPr>
      <w:r>
        <w:rPr>
          <w:rFonts w:ascii="Arial" w:hAnsi="Arial" w:cs="Arial"/>
          <w:b/>
          <w:sz w:val="22"/>
        </w:rPr>
        <w:t>Title:</w:t>
      </w:r>
      <w:r>
        <w:rPr>
          <w:rFonts w:ascii="Arial" w:hAnsi="Arial" w:cs="Arial"/>
          <w:b/>
          <w:sz w:val="22"/>
        </w:rPr>
        <w:tab/>
      </w:r>
      <w:r w:rsidR="007F168A" w:rsidRPr="007F168A">
        <w:rPr>
          <w:rFonts w:ascii="Arial" w:hAnsi="Arial" w:cs="Arial"/>
          <w:sz w:val="22"/>
        </w:rPr>
        <w:t>On eLAA RRM impacts</w:t>
      </w:r>
    </w:p>
    <w:p w14:paraId="7ECEB5DD" w14:textId="77777777"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7F168A" w:rsidRPr="006C0E5A">
        <w:rPr>
          <w:rFonts w:ascii="Arial" w:hAnsi="Arial" w:cs="Arial"/>
          <w:sz w:val="22"/>
        </w:rPr>
        <w:t>7.20.4</w:t>
      </w:r>
    </w:p>
    <w:p w14:paraId="5B23CCC1"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0772F07E" w14:textId="77777777" w:rsidR="00B53ECC" w:rsidRDefault="00B53ECC" w:rsidP="00B53ECC">
      <w:pPr>
        <w:pStyle w:val="Heading1"/>
        <w:numPr>
          <w:ilvl w:val="0"/>
          <w:numId w:val="1"/>
        </w:numPr>
        <w:tabs>
          <w:tab w:val="num" w:pos="45"/>
        </w:tabs>
        <w:ind w:left="405"/>
      </w:pPr>
      <w:r w:rsidRPr="002D46E9">
        <w:t>Introduction</w:t>
      </w:r>
    </w:p>
    <w:p w14:paraId="5F80C639" w14:textId="77777777" w:rsidR="007F168A" w:rsidRDefault="007F168A" w:rsidP="007F168A">
      <w:pPr>
        <w:rPr>
          <w:bCs/>
        </w:rPr>
      </w:pPr>
      <w:r>
        <w:rPr>
          <w:lang w:eastAsia="zh-CN"/>
        </w:rPr>
        <w:t xml:space="preserve">A new work item on enhanced LAA for LTE was approved in [1]. </w:t>
      </w:r>
      <w:r w:rsidRPr="005D08B9">
        <w:rPr>
          <w:bCs/>
        </w:rPr>
        <w:t xml:space="preserve">The </w:t>
      </w:r>
      <w:r>
        <w:rPr>
          <w:bCs/>
        </w:rPr>
        <w:t>objective of the work item is to specify uplink support for LAA SCell operation in unlicensed spectrum to complete downlink operation completed in Rel-13.</w:t>
      </w:r>
    </w:p>
    <w:p w14:paraId="6A41583D" w14:textId="77777777" w:rsidR="00623D45" w:rsidRPr="00623D45" w:rsidRDefault="00623D45" w:rsidP="00623D45">
      <w:pPr>
        <w:rPr>
          <w:lang w:eastAsia="zh-CN"/>
        </w:rPr>
      </w:pPr>
      <w:r>
        <w:rPr>
          <w:lang w:eastAsia="zh-CN"/>
        </w:rPr>
        <w:t>A way forward on eLAA RRM was agreed in [2] in RAN4#78bis meeting. The following list of potential RRM requirement impacts due to UL LBT was provided in the WF:</w:t>
      </w:r>
    </w:p>
    <w:p w14:paraId="67E30CB3" w14:textId="77777777" w:rsidR="00623D45" w:rsidRPr="00623D45" w:rsidRDefault="00623D45" w:rsidP="00623D45">
      <w:pPr>
        <w:pStyle w:val="ListParagraph"/>
        <w:numPr>
          <w:ilvl w:val="0"/>
          <w:numId w:val="20"/>
        </w:numPr>
        <w:rPr>
          <w:lang w:val="en-US" w:eastAsia="zh-CN"/>
        </w:rPr>
      </w:pPr>
      <w:r w:rsidRPr="00623D45">
        <w:rPr>
          <w:lang w:val="sv-SE" w:eastAsia="zh-CN"/>
        </w:rPr>
        <w:t>Random access (section 6.2)</w:t>
      </w:r>
    </w:p>
    <w:p w14:paraId="0C6B287D" w14:textId="77777777" w:rsidR="00623D45" w:rsidRPr="00623D45" w:rsidRDefault="00623D45" w:rsidP="00623D45">
      <w:pPr>
        <w:pStyle w:val="ListParagraph"/>
        <w:numPr>
          <w:ilvl w:val="0"/>
          <w:numId w:val="20"/>
        </w:numPr>
        <w:rPr>
          <w:lang w:val="en-US" w:eastAsia="zh-CN"/>
        </w:rPr>
      </w:pPr>
      <w:r w:rsidRPr="00623D45">
        <w:rPr>
          <w:lang w:val="sv-SE" w:eastAsia="zh-CN"/>
        </w:rPr>
        <w:t>Autonomous timing adjustment (section 7.1)</w:t>
      </w:r>
    </w:p>
    <w:p w14:paraId="05FD07C0" w14:textId="77777777" w:rsidR="00623D45" w:rsidRPr="00623D45" w:rsidRDefault="00623D45" w:rsidP="00623D45">
      <w:pPr>
        <w:pStyle w:val="ListParagraph"/>
        <w:numPr>
          <w:ilvl w:val="0"/>
          <w:numId w:val="20"/>
        </w:numPr>
        <w:rPr>
          <w:lang w:val="en-US" w:eastAsia="zh-CN"/>
        </w:rPr>
      </w:pPr>
      <w:r w:rsidRPr="00623D45">
        <w:rPr>
          <w:lang w:val="sv-SE" w:eastAsia="zh-CN"/>
        </w:rPr>
        <w:t>Timing Advance (section 7.3)</w:t>
      </w:r>
    </w:p>
    <w:p w14:paraId="571EF70A" w14:textId="77777777" w:rsidR="00623D45" w:rsidRPr="00623D45" w:rsidRDefault="00623D45" w:rsidP="00623D45">
      <w:pPr>
        <w:pStyle w:val="ListParagraph"/>
        <w:numPr>
          <w:ilvl w:val="0"/>
          <w:numId w:val="20"/>
        </w:numPr>
        <w:rPr>
          <w:lang w:val="en-US" w:eastAsia="zh-CN"/>
        </w:rPr>
      </w:pPr>
      <w:r w:rsidRPr="00623D45">
        <w:rPr>
          <w:lang w:val="sv-SE" w:eastAsia="zh-CN"/>
        </w:rPr>
        <w:t>Support of  multiple TAGs (e.g., reference timing, UE transmit timing)</w:t>
      </w:r>
    </w:p>
    <w:p w14:paraId="59F80D81" w14:textId="77777777" w:rsidR="00623D45" w:rsidRPr="00623D45" w:rsidRDefault="00623D45" w:rsidP="00623D45">
      <w:pPr>
        <w:pStyle w:val="ListParagraph"/>
        <w:numPr>
          <w:ilvl w:val="0"/>
          <w:numId w:val="20"/>
        </w:numPr>
        <w:rPr>
          <w:lang w:val="en-US" w:eastAsia="zh-CN"/>
        </w:rPr>
      </w:pPr>
      <w:r w:rsidRPr="00623D45">
        <w:rPr>
          <w:lang w:val="sv-SE" w:eastAsia="zh-CN"/>
        </w:rPr>
        <w:t>SCell activation/deactivation delays for PUCCH SCell</w:t>
      </w:r>
    </w:p>
    <w:p w14:paraId="1C2AE3A9" w14:textId="77777777" w:rsidR="00623D45" w:rsidRPr="00623D45" w:rsidRDefault="00623D45" w:rsidP="00623D45">
      <w:pPr>
        <w:pStyle w:val="ListParagraph"/>
        <w:numPr>
          <w:ilvl w:val="0"/>
          <w:numId w:val="20"/>
        </w:numPr>
        <w:rPr>
          <w:lang w:val="en-US" w:eastAsia="zh-CN"/>
        </w:rPr>
      </w:pPr>
      <w:r w:rsidRPr="00623D45">
        <w:rPr>
          <w:lang w:val="sv-SE" w:eastAsia="zh-CN"/>
        </w:rPr>
        <w:t>Measurements</w:t>
      </w:r>
      <w:r w:rsidRPr="00623D45">
        <w:rPr>
          <w:lang w:val="en-US" w:eastAsia="zh-CN"/>
        </w:rPr>
        <w:t xml:space="preserve"> (e.g., measurement reporting delay, relative measurements, Rx-Tx measurements) – Section 8</w:t>
      </w:r>
    </w:p>
    <w:p w14:paraId="346C7D0C" w14:textId="77777777" w:rsidR="00623D45" w:rsidRPr="00623D45" w:rsidRDefault="00623D45" w:rsidP="007F168A">
      <w:pPr>
        <w:pStyle w:val="ListParagraph"/>
        <w:numPr>
          <w:ilvl w:val="0"/>
          <w:numId w:val="20"/>
        </w:numPr>
        <w:rPr>
          <w:lang w:val="en-US" w:eastAsia="zh-CN"/>
        </w:rPr>
      </w:pPr>
      <w:r w:rsidRPr="00623D45">
        <w:rPr>
          <w:lang w:val="sv-SE" w:eastAsia="zh-CN"/>
        </w:rPr>
        <w:t>PHR</w:t>
      </w:r>
    </w:p>
    <w:p w14:paraId="4106071B" w14:textId="586ED194" w:rsidR="007F168A" w:rsidRPr="00E5299C" w:rsidRDefault="007F168A" w:rsidP="007F168A">
      <w:pPr>
        <w:rPr>
          <w:bCs/>
        </w:rPr>
      </w:pPr>
      <w:r>
        <w:rPr>
          <w:bCs/>
        </w:rPr>
        <w:t>In this contribution w</w:t>
      </w:r>
      <w:r w:rsidR="00623D45">
        <w:rPr>
          <w:bCs/>
        </w:rPr>
        <w:t xml:space="preserve">e share our </w:t>
      </w:r>
      <w:r w:rsidR="00E5299C">
        <w:rPr>
          <w:bCs/>
        </w:rPr>
        <w:t xml:space="preserve">view about the </w:t>
      </w:r>
      <w:r w:rsidR="00C0084D">
        <w:rPr>
          <w:bCs/>
        </w:rPr>
        <w:t xml:space="preserve">eLAA impact on the </w:t>
      </w:r>
      <w:r w:rsidR="00E5299C">
        <w:rPr>
          <w:bCs/>
        </w:rPr>
        <w:t>listed items</w:t>
      </w:r>
      <w:r>
        <w:rPr>
          <w:bCs/>
        </w:rPr>
        <w:t xml:space="preserve">. </w:t>
      </w:r>
    </w:p>
    <w:p w14:paraId="1F4B772B" w14:textId="77777777" w:rsidR="00B53ECC" w:rsidRDefault="00B53ECC" w:rsidP="00B53ECC">
      <w:pPr>
        <w:pStyle w:val="Heading1"/>
        <w:numPr>
          <w:ilvl w:val="0"/>
          <w:numId w:val="1"/>
        </w:numPr>
        <w:tabs>
          <w:tab w:val="num" w:pos="45"/>
        </w:tabs>
        <w:ind w:left="405"/>
      </w:pPr>
      <w:r>
        <w:t>Discussion</w:t>
      </w:r>
    </w:p>
    <w:p w14:paraId="714081F0" w14:textId="1F118095" w:rsidR="008B7EF0" w:rsidRDefault="0047739D" w:rsidP="00DD0D87">
      <w:pPr>
        <w:rPr>
          <w:lang w:eastAsia="zh-CN"/>
        </w:rPr>
      </w:pPr>
      <w:r>
        <w:rPr>
          <w:lang w:eastAsia="zh-CN"/>
        </w:rPr>
        <w:t xml:space="preserve">RAN1 has decided that PUCCH SCell is not included in eLAA work </w:t>
      </w:r>
      <w:r w:rsidR="00EA38CE">
        <w:rPr>
          <w:lang w:eastAsia="zh-CN"/>
        </w:rPr>
        <w:t xml:space="preserve">item. </w:t>
      </w:r>
      <w:r w:rsidR="008B7EF0">
        <w:rPr>
          <w:lang w:eastAsia="zh-CN"/>
        </w:rPr>
        <w:t>Additionally, RAN1 has agreed the following:</w:t>
      </w:r>
    </w:p>
    <w:p w14:paraId="0ACDCDF1" w14:textId="77777777" w:rsidR="008B7EF0" w:rsidRPr="008B7EF0" w:rsidRDefault="008B7EF0" w:rsidP="008B7EF0">
      <w:pPr>
        <w:ind w:left="360"/>
        <w:rPr>
          <w:i/>
        </w:rPr>
      </w:pPr>
      <w:r w:rsidRPr="008B7EF0">
        <w:rPr>
          <w:i/>
          <w:highlight w:val="green"/>
        </w:rPr>
        <w:t>Agreement:</w:t>
      </w:r>
    </w:p>
    <w:p w14:paraId="14623FC4" w14:textId="77777777" w:rsidR="008B7EF0" w:rsidRPr="008B7EF0" w:rsidRDefault="008B7EF0" w:rsidP="008B7EF0">
      <w:pPr>
        <w:numPr>
          <w:ilvl w:val="0"/>
          <w:numId w:val="24"/>
        </w:numPr>
        <w:overflowPunct/>
        <w:autoSpaceDE/>
        <w:autoSpaceDN/>
        <w:adjustRightInd/>
        <w:spacing w:after="0"/>
        <w:ind w:left="1080"/>
        <w:rPr>
          <w:i/>
        </w:rPr>
      </w:pPr>
      <w:r w:rsidRPr="008B7EF0">
        <w:rPr>
          <w:i/>
        </w:rPr>
        <w:t>Simultaneous L-cell PUCCH and LAA SCell PUSCH transmission is supported by the UE</w:t>
      </w:r>
    </w:p>
    <w:p w14:paraId="1834F1EF" w14:textId="77777777" w:rsidR="008B7EF0" w:rsidRPr="008B7EF0" w:rsidRDefault="008B7EF0" w:rsidP="008B7EF0">
      <w:pPr>
        <w:pStyle w:val="ListParagraph"/>
        <w:numPr>
          <w:ilvl w:val="1"/>
          <w:numId w:val="24"/>
        </w:numPr>
        <w:overflowPunct/>
        <w:autoSpaceDE/>
        <w:autoSpaceDN/>
        <w:adjustRightInd/>
        <w:spacing w:after="200" w:line="276" w:lineRule="auto"/>
        <w:ind w:left="1800"/>
        <w:rPr>
          <w:i/>
        </w:rPr>
      </w:pPr>
      <w:r w:rsidRPr="008B7EF0">
        <w:rPr>
          <w:i/>
        </w:rPr>
        <w:t>Note: Not configuring this would impact PUSCH transmission opportunities on the LAA SCell</w:t>
      </w:r>
    </w:p>
    <w:p w14:paraId="42322C59" w14:textId="77777777" w:rsidR="008B7EF0" w:rsidRPr="008B7EF0" w:rsidRDefault="008B7EF0" w:rsidP="008B7EF0">
      <w:pPr>
        <w:pStyle w:val="ListParagraph"/>
        <w:numPr>
          <w:ilvl w:val="1"/>
          <w:numId w:val="24"/>
        </w:numPr>
        <w:overflowPunct/>
        <w:autoSpaceDE/>
        <w:autoSpaceDN/>
        <w:adjustRightInd/>
        <w:spacing w:after="200" w:line="276" w:lineRule="auto"/>
        <w:ind w:left="1800"/>
        <w:rPr>
          <w:i/>
        </w:rPr>
      </w:pPr>
      <w:r w:rsidRPr="008B7EF0">
        <w:rPr>
          <w:i/>
        </w:rPr>
        <w:t>Note: whether this feature is optional or mandatory is a separate discussion</w:t>
      </w:r>
    </w:p>
    <w:p w14:paraId="19DC39F6" w14:textId="77777777" w:rsidR="008B7EF0" w:rsidRPr="000B1042" w:rsidRDefault="008B7EF0" w:rsidP="008B7EF0">
      <w:pPr>
        <w:pStyle w:val="ListParagraph"/>
        <w:numPr>
          <w:ilvl w:val="1"/>
          <w:numId w:val="24"/>
        </w:numPr>
        <w:overflowPunct/>
        <w:autoSpaceDE/>
        <w:autoSpaceDN/>
        <w:adjustRightInd/>
        <w:spacing w:after="200" w:line="276" w:lineRule="auto"/>
        <w:ind w:left="1800"/>
      </w:pPr>
      <w:r w:rsidRPr="008B7EF0">
        <w:rPr>
          <w:i/>
        </w:rPr>
        <w:t>Note: this does not necessarily imply that a UE needs support simultaneous PUCCH and PUSCH within one band or adjacent bands</w:t>
      </w:r>
    </w:p>
    <w:p w14:paraId="357591BE" w14:textId="33D73AE0" w:rsidR="00C0084D" w:rsidRDefault="00EA38CE" w:rsidP="00DD0D87">
      <w:pPr>
        <w:rPr>
          <w:lang w:eastAsia="zh-CN"/>
        </w:rPr>
      </w:pPr>
      <w:r>
        <w:rPr>
          <w:lang w:eastAsia="zh-CN"/>
        </w:rPr>
        <w:t>Based on these</w:t>
      </w:r>
      <w:r w:rsidR="008B7EF0">
        <w:rPr>
          <w:lang w:eastAsia="zh-CN"/>
        </w:rPr>
        <w:t xml:space="preserve"> agreement</w:t>
      </w:r>
      <w:r>
        <w:rPr>
          <w:lang w:eastAsia="zh-CN"/>
        </w:rPr>
        <w:t>s</w:t>
      </w:r>
      <w:r w:rsidR="008B7EF0">
        <w:rPr>
          <w:lang w:eastAsia="zh-CN"/>
        </w:rPr>
        <w:t xml:space="preserve"> it seems that LAA </w:t>
      </w:r>
      <w:r w:rsidR="00B12AD6">
        <w:rPr>
          <w:lang w:eastAsia="zh-CN"/>
        </w:rPr>
        <w:t>uplink control signalling would</w:t>
      </w:r>
      <w:r w:rsidR="008B7EF0">
        <w:rPr>
          <w:lang w:eastAsia="zh-CN"/>
        </w:rPr>
        <w:t xml:space="preserve"> always be transmitted on PCell, which is on licensed carriers. </w:t>
      </w:r>
      <w:r>
        <w:rPr>
          <w:lang w:eastAsia="zh-CN"/>
        </w:rPr>
        <w:t xml:space="preserve">This would simplify RAN4 work on eLAA significantly. </w:t>
      </w:r>
      <w:r w:rsidR="00B816EA">
        <w:rPr>
          <w:lang w:eastAsia="zh-CN"/>
        </w:rPr>
        <w:t>Many d</w:t>
      </w:r>
      <w:r w:rsidR="008B7EF0">
        <w:rPr>
          <w:lang w:eastAsia="zh-CN"/>
        </w:rPr>
        <w:t>etails are however still under discussion</w:t>
      </w:r>
      <w:r>
        <w:rPr>
          <w:lang w:eastAsia="zh-CN"/>
        </w:rPr>
        <w:t xml:space="preserve"> in RAN1</w:t>
      </w:r>
      <w:r w:rsidR="008B7EF0">
        <w:rPr>
          <w:lang w:eastAsia="zh-CN"/>
        </w:rPr>
        <w:t>, so RAN4 needs to wait for further agreements.</w:t>
      </w:r>
    </w:p>
    <w:p w14:paraId="7323F864" w14:textId="19BD1847" w:rsidR="008B7EF0" w:rsidRDefault="008B7EF0" w:rsidP="00DD0D87">
      <w:pPr>
        <w:rPr>
          <w:lang w:eastAsia="zh-CN"/>
        </w:rPr>
      </w:pPr>
      <w:r>
        <w:rPr>
          <w:lang w:eastAsia="zh-CN"/>
        </w:rPr>
        <w:t>RAN1 has also agreed that contention based random access is not supported in LAA. Only non-contention based random access is supported.</w:t>
      </w:r>
    </w:p>
    <w:p w14:paraId="00C937A9" w14:textId="0599B526" w:rsidR="00DD0D87" w:rsidRDefault="00DD0D87" w:rsidP="00DD0D87">
      <w:pPr>
        <w:rPr>
          <w:lang w:eastAsia="zh-CN"/>
        </w:rPr>
      </w:pPr>
      <w:r>
        <w:rPr>
          <w:lang w:eastAsia="zh-CN"/>
        </w:rPr>
        <w:lastRenderedPageBreak/>
        <w:t xml:space="preserve">In the following we discuss possible impacts on the </w:t>
      </w:r>
      <w:r w:rsidR="008B7EF0">
        <w:rPr>
          <w:lang w:eastAsia="zh-CN"/>
        </w:rPr>
        <w:t xml:space="preserve">items listed in the way forward with taking into account </w:t>
      </w:r>
      <w:r w:rsidR="00EA38CE">
        <w:rPr>
          <w:lang w:eastAsia="zh-CN"/>
        </w:rPr>
        <w:t xml:space="preserve">the </w:t>
      </w:r>
      <w:r w:rsidR="008B7EF0">
        <w:rPr>
          <w:lang w:eastAsia="zh-CN"/>
        </w:rPr>
        <w:t>newest RAN1 agreements.</w:t>
      </w:r>
    </w:p>
    <w:p w14:paraId="203B9076" w14:textId="77777777" w:rsidR="005D6B07" w:rsidRDefault="005D6B07" w:rsidP="005D6B07">
      <w:pPr>
        <w:rPr>
          <w:u w:val="single"/>
          <w:lang w:val="sv-SE" w:eastAsia="zh-CN"/>
        </w:rPr>
      </w:pPr>
      <w:r w:rsidRPr="004A4486">
        <w:rPr>
          <w:u w:val="single"/>
          <w:lang w:val="sv-SE" w:eastAsia="zh-CN"/>
        </w:rPr>
        <w:t>Random access (section 6.2)</w:t>
      </w:r>
    </w:p>
    <w:p w14:paraId="667B38B6" w14:textId="7A42E972" w:rsidR="005D6B07" w:rsidRPr="005D6B07" w:rsidRDefault="005D6B07" w:rsidP="0047739D">
      <w:pPr>
        <w:rPr>
          <w:lang w:val="sv-SE" w:eastAsia="zh-CN"/>
        </w:rPr>
      </w:pPr>
      <w:r>
        <w:rPr>
          <w:lang w:val="sv-SE" w:eastAsia="zh-CN"/>
        </w:rPr>
        <w:t xml:space="preserve">According to RAN1 agreements, only non-contention based random access is supported in eLAA work item. Further details on random access are </w:t>
      </w:r>
      <w:r w:rsidR="008B7EF0">
        <w:rPr>
          <w:lang w:val="sv-SE" w:eastAsia="zh-CN"/>
        </w:rPr>
        <w:t xml:space="preserve">however </w:t>
      </w:r>
      <w:r>
        <w:rPr>
          <w:lang w:val="sv-SE" w:eastAsia="zh-CN"/>
        </w:rPr>
        <w:t>still open, so it is difficult for RAN4 to see the full impact. Therefore RAN4 needs to wait for more agreements from RAN1</w:t>
      </w:r>
      <w:r w:rsidR="00EA38CE">
        <w:rPr>
          <w:lang w:val="sv-SE" w:eastAsia="zh-CN"/>
        </w:rPr>
        <w:t>/RAN2</w:t>
      </w:r>
      <w:r>
        <w:rPr>
          <w:lang w:val="sv-SE" w:eastAsia="zh-CN"/>
        </w:rPr>
        <w:t>. However, we prognos</w:t>
      </w:r>
      <w:r w:rsidR="00B12AD6">
        <w:rPr>
          <w:lang w:val="sv-SE" w:eastAsia="zh-CN"/>
        </w:rPr>
        <w:t>e a very minimal or no impact on</w:t>
      </w:r>
      <w:r>
        <w:rPr>
          <w:lang w:val="sv-SE" w:eastAsia="zh-CN"/>
        </w:rPr>
        <w:t xml:space="preserve"> section</w:t>
      </w:r>
      <w:r w:rsidR="00E14DB1">
        <w:rPr>
          <w:lang w:val="sv-SE" w:eastAsia="zh-CN"/>
        </w:rPr>
        <w:t xml:space="preserve"> 6.2</w:t>
      </w:r>
      <w:r>
        <w:rPr>
          <w:lang w:val="sv-SE" w:eastAsia="zh-CN"/>
        </w:rPr>
        <w:t>.</w:t>
      </w:r>
    </w:p>
    <w:p w14:paraId="0D555FC7" w14:textId="77777777" w:rsidR="005D6B07" w:rsidRDefault="005D6B07" w:rsidP="005D6B07">
      <w:pPr>
        <w:rPr>
          <w:u w:val="single"/>
          <w:lang w:val="sv-SE" w:eastAsia="zh-CN"/>
        </w:rPr>
      </w:pPr>
      <w:r w:rsidRPr="004A4486">
        <w:rPr>
          <w:u w:val="single"/>
          <w:lang w:val="sv-SE" w:eastAsia="zh-CN"/>
        </w:rPr>
        <w:t>Autonomous timing adjustment (section 7.1)</w:t>
      </w:r>
    </w:p>
    <w:p w14:paraId="1F4801F4" w14:textId="32A1D92A" w:rsidR="005D6B07" w:rsidRDefault="005D6B07" w:rsidP="005D6B07">
      <w:pPr>
        <w:rPr>
          <w:rFonts w:cs="v4.2.0"/>
        </w:rPr>
      </w:pPr>
      <w:r>
        <w:rPr>
          <w:lang w:val="sv-SE" w:eastAsia="zh-CN"/>
        </w:rPr>
        <w:t xml:space="preserve">In some deployment scenarios, it can be desirable that sTAG is configured to contain only LAA SCells. In this case, UE determines its transmission timing within sTAG based on a LAA SCell. </w:t>
      </w:r>
      <w:r w:rsidRPr="00CF461C">
        <w:rPr>
          <w:rFonts w:cs="v4.2.0"/>
        </w:rPr>
        <w:t>When it is not the first transmission in a DRX</w:t>
      </w:r>
      <w:r>
        <w:rPr>
          <w:rFonts w:cs="v4.2.0"/>
        </w:rPr>
        <w:t xml:space="preserve"> cycle or there is no DRX configured, UE needs to adjust its timing</w:t>
      </w:r>
      <w:r w:rsidR="00E14DB1">
        <w:rPr>
          <w:rFonts w:cs="v4.2.0"/>
        </w:rPr>
        <w:t xml:space="preserve"> according to Section 7.1.  These</w:t>
      </w:r>
      <w:r>
        <w:rPr>
          <w:rFonts w:cs="v4.2.0"/>
        </w:rPr>
        <w:t xml:space="preserve"> requirements have been defined with continuous DL transmission in mind.</w:t>
      </w:r>
    </w:p>
    <w:p w14:paraId="28097189" w14:textId="298914A4" w:rsidR="005D6B07" w:rsidRPr="005D6B07" w:rsidRDefault="005D6B07" w:rsidP="0047739D">
      <w:pPr>
        <w:rPr>
          <w:lang w:val="sv-SE" w:eastAsia="zh-CN"/>
        </w:rPr>
      </w:pPr>
      <w:r>
        <w:rPr>
          <w:rFonts w:cs="v4.2.0"/>
        </w:rPr>
        <w:t xml:space="preserve">However, </w:t>
      </w:r>
      <w:r>
        <w:rPr>
          <w:lang w:val="sv-SE" w:eastAsia="zh-CN"/>
        </w:rPr>
        <w:t xml:space="preserve">eNodeB may occasionally need to suspend LAA SCell transmissions, including DRS, for a longer time than originally intended. Correspondingly, UE may not track DL timing continuously and once eNB re-gains access to channel, UE should be able to catch up in the autonomous transmit time adjustments.  However, according to the current specification, 1 us autonomous transmit time adjustment would take over 1.7 s. Hence we see that further studies are needed whether changes are needed on Section 7.1. </w:t>
      </w:r>
    </w:p>
    <w:p w14:paraId="772C2BA6" w14:textId="4EC4B543" w:rsidR="00C8248F" w:rsidRDefault="00C8248F" w:rsidP="00C8248F">
      <w:pPr>
        <w:rPr>
          <w:u w:val="single"/>
          <w:lang w:val="sv-SE" w:eastAsia="zh-CN"/>
        </w:rPr>
      </w:pPr>
      <w:r w:rsidRPr="00C8248F">
        <w:rPr>
          <w:u w:val="single"/>
          <w:lang w:val="sv-SE" w:eastAsia="zh-CN"/>
        </w:rPr>
        <w:t>Timing Advance (section 7.3)</w:t>
      </w:r>
    </w:p>
    <w:p w14:paraId="20BA284A" w14:textId="3F1C1107" w:rsidR="005D6B07" w:rsidRDefault="008B7EF0" w:rsidP="00C8248F">
      <w:pPr>
        <w:rPr>
          <w:lang w:val="sv-SE" w:eastAsia="zh-CN"/>
        </w:rPr>
      </w:pPr>
      <w:r>
        <w:rPr>
          <w:lang w:val="sv-SE" w:eastAsia="zh-CN"/>
        </w:rPr>
        <w:t>At this point w</w:t>
      </w:r>
      <w:r w:rsidR="005D6B07">
        <w:rPr>
          <w:lang w:val="sv-SE" w:eastAsia="zh-CN"/>
        </w:rPr>
        <w:t>e see no impact o</w:t>
      </w:r>
      <w:r>
        <w:rPr>
          <w:lang w:val="sv-SE" w:eastAsia="zh-CN"/>
        </w:rPr>
        <w:t>n timing advance in section 7.3</w:t>
      </w:r>
      <w:r w:rsidR="005D6B07">
        <w:rPr>
          <w:lang w:val="sv-SE" w:eastAsia="zh-CN"/>
        </w:rPr>
        <w:t>. Adjusting the timing advance is b</w:t>
      </w:r>
      <w:r w:rsidR="001A2A72">
        <w:rPr>
          <w:lang w:val="sv-SE" w:eastAsia="zh-CN"/>
        </w:rPr>
        <w:t>ased on timing advance command</w:t>
      </w:r>
      <w:r w:rsidR="00B816EA">
        <w:rPr>
          <w:lang w:val="sv-SE" w:eastAsia="zh-CN"/>
        </w:rPr>
        <w:t>. Even though</w:t>
      </w:r>
      <w:r w:rsidR="005D6B07">
        <w:rPr>
          <w:lang w:val="sv-SE" w:eastAsia="zh-CN"/>
        </w:rPr>
        <w:t xml:space="preserve"> timing advance command itself may </w:t>
      </w:r>
      <w:r w:rsidR="00E14DB1">
        <w:rPr>
          <w:lang w:val="sv-SE" w:eastAsia="zh-CN"/>
        </w:rPr>
        <w:t xml:space="preserve">be </w:t>
      </w:r>
      <w:r w:rsidR="005D6B07">
        <w:rPr>
          <w:lang w:val="sv-SE" w:eastAsia="zh-CN"/>
        </w:rPr>
        <w:t>delay</w:t>
      </w:r>
      <w:r w:rsidR="00E14DB1">
        <w:rPr>
          <w:lang w:val="sv-SE" w:eastAsia="zh-CN"/>
        </w:rPr>
        <w:t>ed</w:t>
      </w:r>
      <w:r w:rsidR="005D6B07">
        <w:rPr>
          <w:lang w:val="sv-SE" w:eastAsia="zh-CN"/>
        </w:rPr>
        <w:t xml:space="preserve"> because of eNodeB LBT, timing advance delay is calculated from the moment the command is </w:t>
      </w:r>
      <w:r w:rsidR="00EA38CE">
        <w:rPr>
          <w:lang w:val="sv-SE" w:eastAsia="zh-CN"/>
        </w:rPr>
        <w:t xml:space="preserve">actually </w:t>
      </w:r>
      <w:r w:rsidR="005D6B07">
        <w:rPr>
          <w:lang w:val="sv-SE" w:eastAsia="zh-CN"/>
        </w:rPr>
        <w:t>received by the UE, and is therefore not dependent on delays in downlink</w:t>
      </w:r>
      <w:r w:rsidR="00C32C4A">
        <w:rPr>
          <w:lang w:val="sv-SE" w:eastAsia="zh-CN"/>
        </w:rPr>
        <w:t xml:space="preserve"> (which would anyway have been part of LAA DL already)</w:t>
      </w:r>
      <w:r w:rsidR="005D6B07">
        <w:rPr>
          <w:lang w:val="sv-SE" w:eastAsia="zh-CN"/>
        </w:rPr>
        <w:t>.</w:t>
      </w:r>
    </w:p>
    <w:p w14:paraId="7E776DB0" w14:textId="07C04426" w:rsidR="005D6B07" w:rsidRPr="005D6B07" w:rsidRDefault="005D6B07" w:rsidP="005D6B07">
      <w:pPr>
        <w:rPr>
          <w:u w:val="single"/>
          <w:lang w:val="sv-SE" w:eastAsia="zh-CN"/>
        </w:rPr>
      </w:pPr>
      <w:r w:rsidRPr="005D6B07">
        <w:rPr>
          <w:u w:val="single"/>
          <w:lang w:val="sv-SE" w:eastAsia="zh-CN"/>
        </w:rPr>
        <w:t>Support of  multiple TAGs (e.g., reference timing, UE transmit timing)</w:t>
      </w:r>
    </w:p>
    <w:p w14:paraId="27805A67" w14:textId="3A756B75" w:rsidR="005D6B07" w:rsidRPr="005D6B07" w:rsidRDefault="00E14DB1" w:rsidP="005D6B07">
      <w:pPr>
        <w:rPr>
          <w:lang w:val="en-US" w:eastAsia="zh-CN"/>
        </w:rPr>
      </w:pPr>
      <w:r>
        <w:rPr>
          <w:lang w:val="sv-SE" w:eastAsia="zh-CN"/>
        </w:rPr>
        <w:t>At this point we see no impact on the specification parts related to support of multiple TAGs.</w:t>
      </w:r>
    </w:p>
    <w:p w14:paraId="4F93DEF6" w14:textId="77777777" w:rsidR="00C0084D" w:rsidRDefault="00C0084D" w:rsidP="00C0084D">
      <w:pPr>
        <w:rPr>
          <w:u w:val="single"/>
          <w:lang w:val="sv-SE" w:eastAsia="zh-CN"/>
        </w:rPr>
      </w:pPr>
      <w:r w:rsidRPr="004A4486">
        <w:rPr>
          <w:u w:val="single"/>
          <w:lang w:val="sv-SE" w:eastAsia="zh-CN"/>
        </w:rPr>
        <w:t>SCell activation/deactivation delays for PUCCH S</w:t>
      </w:r>
      <w:r>
        <w:rPr>
          <w:u w:val="single"/>
          <w:lang w:val="sv-SE" w:eastAsia="zh-CN"/>
        </w:rPr>
        <w:t>C</w:t>
      </w:r>
      <w:r w:rsidRPr="004A4486">
        <w:rPr>
          <w:u w:val="single"/>
          <w:lang w:val="sv-SE" w:eastAsia="zh-CN"/>
        </w:rPr>
        <w:t>ell</w:t>
      </w:r>
    </w:p>
    <w:p w14:paraId="7E4A7708" w14:textId="7E21443E" w:rsidR="008B7EF0" w:rsidRDefault="00C0084D" w:rsidP="00C0084D">
      <w:pPr>
        <w:rPr>
          <w:lang w:val="sv-SE" w:eastAsia="zh-CN"/>
        </w:rPr>
      </w:pPr>
      <w:r>
        <w:rPr>
          <w:lang w:val="sv-SE" w:eastAsia="zh-CN"/>
        </w:rPr>
        <w:t xml:space="preserve">SCell activation is under the impact </w:t>
      </w:r>
      <w:r w:rsidR="00B12AD6">
        <w:rPr>
          <w:lang w:val="sv-SE" w:eastAsia="zh-CN"/>
        </w:rPr>
        <w:t xml:space="preserve">of eNodeB LBT in downlink. </w:t>
      </w:r>
      <w:r w:rsidR="001A2A72">
        <w:rPr>
          <w:lang w:val="sv-SE" w:eastAsia="zh-CN"/>
        </w:rPr>
        <w:t>For that reason</w:t>
      </w:r>
      <w:r w:rsidR="008E74D7">
        <w:rPr>
          <w:lang w:val="sv-SE" w:eastAsia="zh-CN"/>
        </w:rPr>
        <w:t>,</w:t>
      </w:r>
      <w:r>
        <w:rPr>
          <w:lang w:val="sv-SE" w:eastAsia="zh-CN"/>
        </w:rPr>
        <w:t xml:space="preserve"> LAA specific SCell activation delay was introduced in Rel-13. </w:t>
      </w:r>
      <w:r w:rsidR="008B7EF0">
        <w:rPr>
          <w:lang w:val="sv-SE" w:eastAsia="zh-CN"/>
        </w:rPr>
        <w:t xml:space="preserve">Based on the current RAN1 agreements, it seems that </w:t>
      </w:r>
      <w:r w:rsidR="001A2A72">
        <w:rPr>
          <w:lang w:val="sv-SE" w:eastAsia="zh-CN"/>
        </w:rPr>
        <w:t xml:space="preserve">CSI reportig </w:t>
      </w:r>
      <w:r w:rsidR="008B7EF0">
        <w:rPr>
          <w:lang w:val="sv-SE" w:eastAsia="zh-CN"/>
        </w:rPr>
        <w:t>related to LAA SCell activation</w:t>
      </w:r>
      <w:r w:rsidR="00B12AD6">
        <w:rPr>
          <w:lang w:val="sv-SE" w:eastAsia="zh-CN"/>
        </w:rPr>
        <w:t xml:space="preserve"> would</w:t>
      </w:r>
      <w:r w:rsidR="008B7EF0">
        <w:rPr>
          <w:lang w:val="sv-SE" w:eastAsia="zh-CN"/>
        </w:rPr>
        <w:t xml:space="preserve"> be transmitted in licensed carriers, and </w:t>
      </w:r>
      <w:r w:rsidR="00B12AD6">
        <w:rPr>
          <w:lang w:val="sv-SE" w:eastAsia="zh-CN"/>
        </w:rPr>
        <w:t>would therefore not be</w:t>
      </w:r>
      <w:r w:rsidR="008B7EF0">
        <w:rPr>
          <w:lang w:val="sv-SE" w:eastAsia="zh-CN"/>
        </w:rPr>
        <w:t xml:space="preserve"> dependent on LBT. RAN4 of course needs to wait for further RAN1 decisions, but based on the current state it seems that SCell activation delay for FS3 as defined in Rel-13 can be reused when introducing LAA uplink.</w:t>
      </w:r>
    </w:p>
    <w:p w14:paraId="4DBB292A" w14:textId="77777777" w:rsidR="008E74D7" w:rsidRPr="008E74D7" w:rsidRDefault="008E74D7" w:rsidP="008E74D7">
      <w:pPr>
        <w:rPr>
          <w:u w:val="single"/>
          <w:lang w:val="en-US" w:eastAsia="zh-CN"/>
        </w:rPr>
      </w:pPr>
      <w:r w:rsidRPr="008E74D7">
        <w:rPr>
          <w:u w:val="single"/>
          <w:lang w:val="sv-SE" w:eastAsia="zh-CN"/>
        </w:rPr>
        <w:t>Measurements</w:t>
      </w:r>
      <w:r w:rsidRPr="008E74D7">
        <w:rPr>
          <w:u w:val="single"/>
          <w:lang w:val="en-US" w:eastAsia="zh-CN"/>
        </w:rPr>
        <w:t xml:space="preserve"> (e.g., measurement reporting delay, relative measurements, Rx-Tx measurements) – Section 8</w:t>
      </w:r>
    </w:p>
    <w:p w14:paraId="69892772" w14:textId="16506325" w:rsidR="008E74D7" w:rsidRDefault="008E74D7" w:rsidP="00C0084D">
      <w:pPr>
        <w:rPr>
          <w:lang w:val="en-US" w:eastAsia="zh-CN"/>
        </w:rPr>
      </w:pPr>
      <w:r>
        <w:rPr>
          <w:lang w:val="en-US" w:eastAsia="zh-CN"/>
        </w:rPr>
        <w:t xml:space="preserve">For measurements, LAA specific requirements were specified because of eNodeB LBT and LAA DRS. </w:t>
      </w:r>
      <w:r w:rsidR="008B7EF0">
        <w:rPr>
          <w:lang w:val="en-US" w:eastAsia="zh-CN"/>
        </w:rPr>
        <w:t>The same reasoning as for LAA SCell activation holds for m</w:t>
      </w:r>
      <w:r w:rsidR="001A2A72">
        <w:rPr>
          <w:lang w:val="en-US" w:eastAsia="zh-CN"/>
        </w:rPr>
        <w:t>easurement reporting: if</w:t>
      </w:r>
      <w:r w:rsidR="008B7EF0">
        <w:rPr>
          <w:lang w:val="en-US" w:eastAsia="zh-CN"/>
        </w:rPr>
        <w:t xml:space="preserve"> measurement reporting happens on PCell, no impact due to LAA uplink is expected.</w:t>
      </w:r>
    </w:p>
    <w:p w14:paraId="11805AC4" w14:textId="0426D266" w:rsidR="005D6B07" w:rsidRDefault="005D6B07" w:rsidP="00C0084D">
      <w:pPr>
        <w:rPr>
          <w:u w:val="single"/>
          <w:lang w:val="en-US" w:eastAsia="zh-CN"/>
        </w:rPr>
      </w:pPr>
      <w:r w:rsidRPr="005D6B07">
        <w:rPr>
          <w:u w:val="single"/>
          <w:lang w:val="en-US" w:eastAsia="zh-CN"/>
        </w:rPr>
        <w:t>Power headroom reporting</w:t>
      </w:r>
    </w:p>
    <w:p w14:paraId="33B29582" w14:textId="7C35F160" w:rsidR="008B7EF0" w:rsidRPr="008B7EF0" w:rsidRDefault="008B7EF0" w:rsidP="00C0084D">
      <w:pPr>
        <w:rPr>
          <w:lang w:val="en-US" w:eastAsia="zh-CN"/>
        </w:rPr>
      </w:pPr>
      <w:r w:rsidRPr="008B7EF0">
        <w:rPr>
          <w:lang w:val="en-US" w:eastAsia="zh-CN"/>
        </w:rPr>
        <w:t>The impact to power headroom reporting depends on where the power headroom report will be sent. If on PCell, current specifications are valid with LAA uplink as well.</w:t>
      </w:r>
    </w:p>
    <w:p w14:paraId="76161D08" w14:textId="77777777" w:rsidR="00B53ECC" w:rsidRDefault="00B53ECC" w:rsidP="00B53ECC">
      <w:pPr>
        <w:pStyle w:val="Heading1"/>
        <w:numPr>
          <w:ilvl w:val="0"/>
          <w:numId w:val="1"/>
        </w:numPr>
      </w:pPr>
      <w:r w:rsidRPr="007D7EEC">
        <w:t>Conclusion</w:t>
      </w:r>
    </w:p>
    <w:p w14:paraId="780FBCDC" w14:textId="43E15202" w:rsidR="00844EE9" w:rsidRPr="00844EE9" w:rsidRDefault="00844EE9" w:rsidP="00844EE9">
      <w:pPr>
        <w:rPr>
          <w:lang w:eastAsia="zh-CN"/>
        </w:rPr>
      </w:pPr>
      <w:r>
        <w:rPr>
          <w:lang w:eastAsia="zh-CN"/>
        </w:rPr>
        <w:t>In this contribution we have discussed parts of 36.133 that were listed as possibly impacted parts of the specification due to uplink LAA. According to our study</w:t>
      </w:r>
      <w:r w:rsidR="00EA38CE">
        <w:rPr>
          <w:lang w:eastAsia="zh-CN"/>
        </w:rPr>
        <w:t xml:space="preserve"> and based on newest RAN1 agreements</w:t>
      </w:r>
      <w:r>
        <w:rPr>
          <w:lang w:eastAsia="zh-CN"/>
        </w:rPr>
        <w:t xml:space="preserve">, it seems that </w:t>
      </w:r>
      <w:r>
        <w:rPr>
          <w:lang w:eastAsia="zh-CN"/>
        </w:rPr>
        <w:lastRenderedPageBreak/>
        <w:t>uplink LAA impact to RRM specif</w:t>
      </w:r>
      <w:r w:rsidR="00EA38CE">
        <w:rPr>
          <w:lang w:eastAsia="zh-CN"/>
        </w:rPr>
        <w:t>icatio</w:t>
      </w:r>
      <w:r w:rsidR="00B816EA">
        <w:rPr>
          <w:lang w:eastAsia="zh-CN"/>
        </w:rPr>
        <w:t>ns will be quite minimal. H</w:t>
      </w:r>
      <w:r w:rsidR="00EA38CE">
        <w:rPr>
          <w:lang w:eastAsia="zh-CN"/>
        </w:rPr>
        <w:t>owever</w:t>
      </w:r>
      <w:r w:rsidR="00B816EA">
        <w:rPr>
          <w:lang w:eastAsia="zh-CN"/>
        </w:rPr>
        <w:t>, RAN4</w:t>
      </w:r>
      <w:bookmarkStart w:id="2" w:name="_GoBack"/>
      <w:bookmarkEnd w:id="2"/>
      <w:r w:rsidR="00EA38CE">
        <w:rPr>
          <w:lang w:eastAsia="zh-CN"/>
        </w:rPr>
        <w:t xml:space="preserve"> needs to wait for further RAN1 agreements to see the full impact.</w:t>
      </w:r>
    </w:p>
    <w:p w14:paraId="4964B883" w14:textId="77777777" w:rsidR="00B53ECC" w:rsidRDefault="00B53ECC" w:rsidP="00B53ECC">
      <w:pPr>
        <w:pStyle w:val="Heading1"/>
        <w:numPr>
          <w:ilvl w:val="0"/>
          <w:numId w:val="0"/>
        </w:numPr>
        <w:ind w:left="431" w:hanging="431"/>
      </w:pPr>
      <w:r w:rsidRPr="007D7EEC">
        <w:t>References</w:t>
      </w:r>
    </w:p>
    <w:p w14:paraId="38075621" w14:textId="77777777" w:rsidR="00B53ECC" w:rsidRDefault="007F168A" w:rsidP="007F168A">
      <w:pPr>
        <w:pStyle w:val="ListParagraph"/>
        <w:numPr>
          <w:ilvl w:val="0"/>
          <w:numId w:val="2"/>
        </w:numPr>
        <w:rPr>
          <w:lang w:eastAsia="zh-CN"/>
        </w:rPr>
      </w:pPr>
      <w:r w:rsidRPr="007F168A">
        <w:rPr>
          <w:lang w:eastAsia="zh-CN"/>
        </w:rPr>
        <w:t>RP-152272</w:t>
      </w:r>
      <w:r>
        <w:rPr>
          <w:lang w:eastAsia="zh-CN"/>
        </w:rPr>
        <w:t xml:space="preserve">: </w:t>
      </w:r>
      <w:r w:rsidRPr="007F168A">
        <w:rPr>
          <w:i/>
          <w:lang w:eastAsia="zh-CN"/>
        </w:rPr>
        <w:t>“New Work Item on enhanced LAA for LTE”</w:t>
      </w:r>
      <w:r>
        <w:rPr>
          <w:lang w:eastAsia="zh-CN"/>
        </w:rPr>
        <w:t xml:space="preserve">, </w:t>
      </w:r>
      <w:r w:rsidRPr="007F168A">
        <w:rPr>
          <w:lang w:eastAsia="zh-CN"/>
        </w:rPr>
        <w:t>Ericsson, Huawei</w:t>
      </w:r>
      <w:r>
        <w:rPr>
          <w:lang w:eastAsia="zh-CN"/>
        </w:rPr>
        <w:t xml:space="preserve">, </w:t>
      </w:r>
      <w:r w:rsidRPr="007F168A">
        <w:rPr>
          <w:lang w:eastAsia="zh-CN"/>
        </w:rPr>
        <w:t xml:space="preserve">Sitges, Spain, </w:t>
      </w:r>
      <w:r>
        <w:rPr>
          <w:lang w:eastAsia="zh-CN"/>
        </w:rPr>
        <w:t>December</w:t>
      </w:r>
      <w:r w:rsidRPr="007F168A">
        <w:rPr>
          <w:lang w:eastAsia="zh-CN"/>
        </w:rPr>
        <w:t xml:space="preserve"> 2015</w:t>
      </w:r>
      <w:r>
        <w:rPr>
          <w:lang w:eastAsia="zh-CN"/>
        </w:rPr>
        <w:t>.</w:t>
      </w:r>
    </w:p>
    <w:p w14:paraId="0C7FEFFB" w14:textId="77777777" w:rsidR="00B57962" w:rsidRPr="00B57962" w:rsidRDefault="00B57962" w:rsidP="00B57962">
      <w:pPr>
        <w:pStyle w:val="ListParagraph"/>
        <w:numPr>
          <w:ilvl w:val="0"/>
          <w:numId w:val="2"/>
        </w:numPr>
        <w:rPr>
          <w:lang w:val="en-US" w:eastAsia="zh-CN"/>
        </w:rPr>
      </w:pPr>
      <w:r w:rsidRPr="00B57962">
        <w:rPr>
          <w:lang w:eastAsia="zh-CN"/>
        </w:rPr>
        <w:t>R4-163044</w:t>
      </w:r>
      <w:r>
        <w:rPr>
          <w:lang w:eastAsia="zh-CN"/>
        </w:rPr>
        <w:t xml:space="preserve">: </w:t>
      </w:r>
      <w:r>
        <w:rPr>
          <w:i/>
          <w:lang w:eastAsia="zh-CN"/>
        </w:rPr>
        <w:t xml:space="preserve">“Way Forward on </w:t>
      </w:r>
      <w:r w:rsidRPr="00B57962">
        <w:rPr>
          <w:i/>
          <w:lang w:eastAsia="zh-CN"/>
        </w:rPr>
        <w:t>eLAA RRM</w:t>
      </w:r>
      <w:r>
        <w:rPr>
          <w:i/>
          <w:lang w:eastAsia="zh-CN"/>
        </w:rPr>
        <w:t>”</w:t>
      </w:r>
      <w:r>
        <w:rPr>
          <w:lang w:eastAsia="zh-CN"/>
        </w:rPr>
        <w:t xml:space="preserve">, </w:t>
      </w:r>
      <w:r w:rsidRPr="00B57962">
        <w:rPr>
          <w:lang w:val="en-US" w:eastAsia="zh-CN"/>
        </w:rPr>
        <w:t>Ericsson, Nokia, Intel, Qualcomm Inc., ZTE, Samsung</w:t>
      </w:r>
      <w:r>
        <w:rPr>
          <w:lang w:val="en-US" w:eastAsia="zh-CN"/>
        </w:rPr>
        <w:t>, San Jose del Cabo, Mexico, April 2016.</w:t>
      </w:r>
    </w:p>
    <w:p w14:paraId="2326284F" w14:textId="77777777" w:rsidR="00845511" w:rsidRDefault="00845511" w:rsidP="00845511">
      <w:pPr>
        <w:pStyle w:val="ListParagraph"/>
        <w:rPr>
          <w:lang w:eastAsia="zh-CN"/>
        </w:rPr>
      </w:pPr>
    </w:p>
    <w:p w14:paraId="09E5140D" w14:textId="77777777" w:rsidR="00BF5630" w:rsidRDefault="00BF5630"/>
    <w:sectPr w:rsidR="00BF5630" w:rsidSect="002D524F">
      <w:pgSz w:w="12240" w:h="15840"/>
      <w:pgMar w:top="1134"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2275D"/>
    <w:multiLevelType w:val="multilevel"/>
    <w:tmpl w:val="5428D2D0"/>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 w15:restartNumberingAfterBreak="0">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417C24"/>
    <w:multiLevelType w:val="hybridMultilevel"/>
    <w:tmpl w:val="0B8E8794"/>
    <w:lvl w:ilvl="0" w:tplc="7C88DB6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882952"/>
    <w:multiLevelType w:val="hybridMultilevel"/>
    <w:tmpl w:val="89425358"/>
    <w:lvl w:ilvl="0" w:tplc="44143A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0B112F"/>
    <w:multiLevelType w:val="hybridMultilevel"/>
    <w:tmpl w:val="D8167560"/>
    <w:lvl w:ilvl="0" w:tplc="44143A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0" w15:restartNumberingAfterBreak="0">
    <w:nsid w:val="35BE772F"/>
    <w:multiLevelType w:val="hybridMultilevel"/>
    <w:tmpl w:val="9906E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8107D0"/>
    <w:multiLevelType w:val="hybridMultilevel"/>
    <w:tmpl w:val="CE46E7F8"/>
    <w:lvl w:ilvl="0" w:tplc="3788E3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D586A"/>
    <w:multiLevelType w:val="hybridMultilevel"/>
    <w:tmpl w:val="4412D784"/>
    <w:lvl w:ilvl="0" w:tplc="77789DA8">
      <w:start w:val="1"/>
      <w:numFmt w:val="bullet"/>
      <w:lvlText w:val="•"/>
      <w:lvlJc w:val="left"/>
      <w:pPr>
        <w:tabs>
          <w:tab w:val="num" w:pos="720"/>
        </w:tabs>
        <w:ind w:left="720" w:hanging="360"/>
      </w:pPr>
      <w:rPr>
        <w:rFonts w:ascii="Arial" w:hAnsi="Arial" w:hint="default"/>
      </w:rPr>
    </w:lvl>
    <w:lvl w:ilvl="1" w:tplc="A45C094E" w:tentative="1">
      <w:start w:val="1"/>
      <w:numFmt w:val="bullet"/>
      <w:lvlText w:val="•"/>
      <w:lvlJc w:val="left"/>
      <w:pPr>
        <w:tabs>
          <w:tab w:val="num" w:pos="1440"/>
        </w:tabs>
        <w:ind w:left="1440" w:hanging="360"/>
      </w:pPr>
      <w:rPr>
        <w:rFonts w:ascii="Arial" w:hAnsi="Arial" w:hint="default"/>
      </w:rPr>
    </w:lvl>
    <w:lvl w:ilvl="2" w:tplc="597697B8" w:tentative="1">
      <w:start w:val="1"/>
      <w:numFmt w:val="bullet"/>
      <w:lvlText w:val="•"/>
      <w:lvlJc w:val="left"/>
      <w:pPr>
        <w:tabs>
          <w:tab w:val="num" w:pos="2160"/>
        </w:tabs>
        <w:ind w:left="2160" w:hanging="360"/>
      </w:pPr>
      <w:rPr>
        <w:rFonts w:ascii="Arial" w:hAnsi="Arial" w:hint="default"/>
      </w:rPr>
    </w:lvl>
    <w:lvl w:ilvl="3" w:tplc="F3C2F8F2" w:tentative="1">
      <w:start w:val="1"/>
      <w:numFmt w:val="bullet"/>
      <w:lvlText w:val="•"/>
      <w:lvlJc w:val="left"/>
      <w:pPr>
        <w:tabs>
          <w:tab w:val="num" w:pos="2880"/>
        </w:tabs>
        <w:ind w:left="2880" w:hanging="360"/>
      </w:pPr>
      <w:rPr>
        <w:rFonts w:ascii="Arial" w:hAnsi="Arial" w:hint="default"/>
      </w:rPr>
    </w:lvl>
    <w:lvl w:ilvl="4" w:tplc="0CB60692" w:tentative="1">
      <w:start w:val="1"/>
      <w:numFmt w:val="bullet"/>
      <w:lvlText w:val="•"/>
      <w:lvlJc w:val="left"/>
      <w:pPr>
        <w:tabs>
          <w:tab w:val="num" w:pos="3600"/>
        </w:tabs>
        <w:ind w:left="3600" w:hanging="360"/>
      </w:pPr>
      <w:rPr>
        <w:rFonts w:ascii="Arial" w:hAnsi="Arial" w:hint="default"/>
      </w:rPr>
    </w:lvl>
    <w:lvl w:ilvl="5" w:tplc="7068A6CA" w:tentative="1">
      <w:start w:val="1"/>
      <w:numFmt w:val="bullet"/>
      <w:lvlText w:val="•"/>
      <w:lvlJc w:val="left"/>
      <w:pPr>
        <w:tabs>
          <w:tab w:val="num" w:pos="4320"/>
        </w:tabs>
        <w:ind w:left="4320" w:hanging="360"/>
      </w:pPr>
      <w:rPr>
        <w:rFonts w:ascii="Arial" w:hAnsi="Arial" w:hint="default"/>
      </w:rPr>
    </w:lvl>
    <w:lvl w:ilvl="6" w:tplc="132CF87E" w:tentative="1">
      <w:start w:val="1"/>
      <w:numFmt w:val="bullet"/>
      <w:lvlText w:val="•"/>
      <w:lvlJc w:val="left"/>
      <w:pPr>
        <w:tabs>
          <w:tab w:val="num" w:pos="5040"/>
        </w:tabs>
        <w:ind w:left="5040" w:hanging="360"/>
      </w:pPr>
      <w:rPr>
        <w:rFonts w:ascii="Arial" w:hAnsi="Arial" w:hint="default"/>
      </w:rPr>
    </w:lvl>
    <w:lvl w:ilvl="7" w:tplc="B6C8C4D8" w:tentative="1">
      <w:start w:val="1"/>
      <w:numFmt w:val="bullet"/>
      <w:lvlText w:val="•"/>
      <w:lvlJc w:val="left"/>
      <w:pPr>
        <w:tabs>
          <w:tab w:val="num" w:pos="5760"/>
        </w:tabs>
        <w:ind w:left="5760" w:hanging="360"/>
      </w:pPr>
      <w:rPr>
        <w:rFonts w:ascii="Arial" w:hAnsi="Arial" w:hint="default"/>
      </w:rPr>
    </w:lvl>
    <w:lvl w:ilvl="8" w:tplc="35DC8C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991661"/>
    <w:multiLevelType w:val="hybridMultilevel"/>
    <w:tmpl w:val="6AE07F28"/>
    <w:lvl w:ilvl="0" w:tplc="44143A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8F4614"/>
    <w:multiLevelType w:val="hybridMultilevel"/>
    <w:tmpl w:val="7AA215F8"/>
    <w:lvl w:ilvl="0" w:tplc="02EED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251C35"/>
    <w:multiLevelType w:val="hybridMultilevel"/>
    <w:tmpl w:val="B672C3E6"/>
    <w:lvl w:ilvl="0" w:tplc="E708E2B0">
      <w:start w:val="1"/>
      <w:numFmt w:val="bullet"/>
      <w:lvlText w:val="•"/>
      <w:lvlJc w:val="left"/>
      <w:pPr>
        <w:tabs>
          <w:tab w:val="num" w:pos="720"/>
        </w:tabs>
        <w:ind w:left="720" w:hanging="360"/>
      </w:pPr>
      <w:rPr>
        <w:rFonts w:ascii="Arial" w:hAnsi="Aria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59638B"/>
    <w:multiLevelType w:val="hybridMultilevel"/>
    <w:tmpl w:val="3A0EB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E1AAC"/>
    <w:multiLevelType w:val="hybridMultilevel"/>
    <w:tmpl w:val="FE4C6C44"/>
    <w:lvl w:ilvl="0" w:tplc="D756B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372C82"/>
    <w:multiLevelType w:val="hybridMultilevel"/>
    <w:tmpl w:val="5A6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22C5F1F"/>
    <w:multiLevelType w:val="hybridMultilevel"/>
    <w:tmpl w:val="F274E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8"/>
  </w:num>
  <w:num w:numId="4">
    <w:abstractNumId w:val="5"/>
  </w:num>
  <w:num w:numId="5">
    <w:abstractNumId w:val="10"/>
  </w:num>
  <w:num w:numId="6">
    <w:abstractNumId w:val="4"/>
  </w:num>
  <w:num w:numId="7">
    <w:abstractNumId w:val="20"/>
  </w:num>
  <w:num w:numId="8">
    <w:abstractNumId w:val="1"/>
  </w:num>
  <w:num w:numId="9">
    <w:abstractNumId w:val="15"/>
  </w:num>
  <w:num w:numId="10">
    <w:abstractNumId w:val="8"/>
  </w:num>
  <w:num w:numId="11">
    <w:abstractNumId w:val="22"/>
  </w:num>
  <w:num w:numId="12">
    <w:abstractNumId w:val="6"/>
  </w:num>
  <w:num w:numId="13">
    <w:abstractNumId w:val="11"/>
  </w:num>
  <w:num w:numId="14">
    <w:abstractNumId w:val="19"/>
  </w:num>
  <w:num w:numId="15">
    <w:abstractNumId w:val="16"/>
  </w:num>
  <w:num w:numId="16">
    <w:abstractNumId w:val="3"/>
  </w:num>
  <w:num w:numId="17">
    <w:abstractNumId w:val="0"/>
  </w:num>
  <w:num w:numId="18">
    <w:abstractNumId w:val="23"/>
  </w:num>
  <w:num w:numId="19">
    <w:abstractNumId w:val="13"/>
  </w:num>
  <w:num w:numId="20">
    <w:abstractNumId w:val="14"/>
  </w:num>
  <w:num w:numId="21">
    <w:abstractNumId w:val="7"/>
  </w:num>
  <w:num w:numId="22">
    <w:abstractNumId w:val="17"/>
  </w:num>
  <w:num w:numId="23">
    <w:abstractNumId w:val="2"/>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97148"/>
    <w:rsid w:val="000B70E2"/>
    <w:rsid w:val="000C0379"/>
    <w:rsid w:val="000C345A"/>
    <w:rsid w:val="000C5D45"/>
    <w:rsid w:val="00134534"/>
    <w:rsid w:val="001802F1"/>
    <w:rsid w:val="00184E9B"/>
    <w:rsid w:val="00192041"/>
    <w:rsid w:val="001A2A72"/>
    <w:rsid w:val="001B54A6"/>
    <w:rsid w:val="001D3356"/>
    <w:rsid w:val="001D6A98"/>
    <w:rsid w:val="00212251"/>
    <w:rsid w:val="0022708A"/>
    <w:rsid w:val="00256F61"/>
    <w:rsid w:val="00262586"/>
    <w:rsid w:val="00284DB1"/>
    <w:rsid w:val="002A3514"/>
    <w:rsid w:val="002C5D88"/>
    <w:rsid w:val="002D0D84"/>
    <w:rsid w:val="002E6F6C"/>
    <w:rsid w:val="002F4693"/>
    <w:rsid w:val="00321B23"/>
    <w:rsid w:val="00354834"/>
    <w:rsid w:val="00355F19"/>
    <w:rsid w:val="00410E1F"/>
    <w:rsid w:val="00423984"/>
    <w:rsid w:val="00456AE4"/>
    <w:rsid w:val="0047739D"/>
    <w:rsid w:val="004A4486"/>
    <w:rsid w:val="004C3988"/>
    <w:rsid w:val="004C746B"/>
    <w:rsid w:val="004D3A07"/>
    <w:rsid w:val="004F2EE3"/>
    <w:rsid w:val="0051370D"/>
    <w:rsid w:val="00517980"/>
    <w:rsid w:val="005D6B07"/>
    <w:rsid w:val="005F6D07"/>
    <w:rsid w:val="005F797D"/>
    <w:rsid w:val="00623D45"/>
    <w:rsid w:val="00652BF0"/>
    <w:rsid w:val="006B6B8E"/>
    <w:rsid w:val="006C0E5A"/>
    <w:rsid w:val="006D3F40"/>
    <w:rsid w:val="006E3BE6"/>
    <w:rsid w:val="006E5B75"/>
    <w:rsid w:val="006F0DD8"/>
    <w:rsid w:val="007157E3"/>
    <w:rsid w:val="0072274A"/>
    <w:rsid w:val="007251D9"/>
    <w:rsid w:val="00732E46"/>
    <w:rsid w:val="00767993"/>
    <w:rsid w:val="007923EE"/>
    <w:rsid w:val="007C46A6"/>
    <w:rsid w:val="007F168A"/>
    <w:rsid w:val="00827CA5"/>
    <w:rsid w:val="00844EE9"/>
    <w:rsid w:val="00845511"/>
    <w:rsid w:val="008A2DD2"/>
    <w:rsid w:val="008B7EF0"/>
    <w:rsid w:val="008C4AD6"/>
    <w:rsid w:val="008E74D7"/>
    <w:rsid w:val="00920E0C"/>
    <w:rsid w:val="00922821"/>
    <w:rsid w:val="00965F09"/>
    <w:rsid w:val="00967D68"/>
    <w:rsid w:val="009905B2"/>
    <w:rsid w:val="009B2C7A"/>
    <w:rsid w:val="009B3214"/>
    <w:rsid w:val="009C12C8"/>
    <w:rsid w:val="00A03D2A"/>
    <w:rsid w:val="00A151B4"/>
    <w:rsid w:val="00A223D8"/>
    <w:rsid w:val="00A45014"/>
    <w:rsid w:val="00A46DA7"/>
    <w:rsid w:val="00A71B57"/>
    <w:rsid w:val="00A7338A"/>
    <w:rsid w:val="00A82A9C"/>
    <w:rsid w:val="00A92991"/>
    <w:rsid w:val="00AE73DD"/>
    <w:rsid w:val="00AF1CA9"/>
    <w:rsid w:val="00B12AD6"/>
    <w:rsid w:val="00B22596"/>
    <w:rsid w:val="00B3747A"/>
    <w:rsid w:val="00B53ECC"/>
    <w:rsid w:val="00B57962"/>
    <w:rsid w:val="00B816EA"/>
    <w:rsid w:val="00B81EB0"/>
    <w:rsid w:val="00B85AEE"/>
    <w:rsid w:val="00BA6DD5"/>
    <w:rsid w:val="00BB0195"/>
    <w:rsid w:val="00BE4A4E"/>
    <w:rsid w:val="00BE6208"/>
    <w:rsid w:val="00BF2367"/>
    <w:rsid w:val="00BF2441"/>
    <w:rsid w:val="00BF5630"/>
    <w:rsid w:val="00C0084D"/>
    <w:rsid w:val="00C0488E"/>
    <w:rsid w:val="00C32C4A"/>
    <w:rsid w:val="00C4574C"/>
    <w:rsid w:val="00C461B2"/>
    <w:rsid w:val="00C52EB4"/>
    <w:rsid w:val="00C62529"/>
    <w:rsid w:val="00C8248F"/>
    <w:rsid w:val="00CC3C27"/>
    <w:rsid w:val="00CD0D7C"/>
    <w:rsid w:val="00CE377A"/>
    <w:rsid w:val="00D43F9C"/>
    <w:rsid w:val="00D5602A"/>
    <w:rsid w:val="00D61FB3"/>
    <w:rsid w:val="00DB2098"/>
    <w:rsid w:val="00DD0D87"/>
    <w:rsid w:val="00E14DB1"/>
    <w:rsid w:val="00E258CA"/>
    <w:rsid w:val="00E5299C"/>
    <w:rsid w:val="00E552BA"/>
    <w:rsid w:val="00E97D00"/>
    <w:rsid w:val="00EA38CE"/>
    <w:rsid w:val="00EA63CE"/>
    <w:rsid w:val="00EC4423"/>
    <w:rsid w:val="00EE2262"/>
    <w:rsid w:val="00F035E5"/>
    <w:rsid w:val="00F11507"/>
    <w:rsid w:val="00F25799"/>
    <w:rsid w:val="00F31FBC"/>
    <w:rsid w:val="00F50B45"/>
    <w:rsid w:val="00F75567"/>
    <w:rsid w:val="00F8358A"/>
    <w:rsid w:val="00FE1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AA349"/>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7"/>
      </w:numPr>
      <w:spacing w:before="40" w:after="120"/>
      <w:outlineLvl w:val="1"/>
    </w:pPr>
    <w:rPr>
      <w:rFonts w:ascii="Arial" w:eastAsiaTheme="majorEastAsia" w:hAnsi="Arial" w:cstheme="majorBidi"/>
      <w:sz w:val="26"/>
      <w:szCs w:val="26"/>
    </w:rPr>
  </w:style>
  <w:style w:type="paragraph" w:styleId="Heading4">
    <w:name w:val="heading 4"/>
    <w:basedOn w:val="Normal"/>
    <w:next w:val="Normal"/>
    <w:link w:val="Heading4Char"/>
    <w:uiPriority w:val="9"/>
    <w:semiHidden/>
    <w:unhideWhenUsed/>
    <w:qFormat/>
    <w:rsid w:val="00456AE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EC4423"/>
    <w:pPr>
      <w:spacing w:after="200"/>
      <w:jc w:val="center"/>
    </w:pPr>
    <w:rPr>
      <w:iCs/>
      <w:sz w:val="18"/>
      <w:szCs w:val="18"/>
    </w:rPr>
  </w:style>
  <w:style w:type="paragraph" w:customStyle="1" w:styleId="B1">
    <w:name w:val="B1"/>
    <w:basedOn w:val="Normal"/>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EC4423"/>
    <w:rPr>
      <w:rFonts w:ascii="Times New Roman" w:eastAsia="Times New Roman" w:hAnsi="Times New Roman" w:cs="Times New Roman"/>
      <w:iCs/>
      <w:sz w:val="18"/>
      <w:szCs w:val="18"/>
      <w:lang w:val="en-GB"/>
    </w:rPr>
  </w:style>
  <w:style w:type="paragraph" w:styleId="ListParagraph">
    <w:name w:val="List Paragraph"/>
    <w:basedOn w:val="Normal"/>
    <w:link w:val="ListParagraphChar"/>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paragraph" w:customStyle="1" w:styleId="CRCoverPage">
    <w:name w:val="CR Cover Page"/>
    <w:rsid w:val="00B57962"/>
    <w:pPr>
      <w:spacing w:after="120" w:line="240" w:lineRule="auto"/>
    </w:pPr>
    <w:rPr>
      <w:rFonts w:ascii="Arial" w:eastAsia="Times New Roman" w:hAnsi="Arial" w:cs="Times New Roman"/>
      <w:sz w:val="20"/>
      <w:szCs w:val="20"/>
      <w:lang w:val="en-GB"/>
    </w:rPr>
  </w:style>
  <w:style w:type="paragraph" w:styleId="NormalWeb">
    <w:name w:val="Normal (Web)"/>
    <w:basedOn w:val="Normal"/>
    <w:uiPriority w:val="99"/>
    <w:semiHidden/>
    <w:unhideWhenUsed/>
    <w:rsid w:val="00B57962"/>
    <w:pPr>
      <w:overflowPunct/>
      <w:autoSpaceDE/>
      <w:autoSpaceDN/>
      <w:adjustRightInd/>
      <w:spacing w:before="100" w:beforeAutospacing="1" w:after="100" w:afterAutospacing="1"/>
    </w:pPr>
    <w:rPr>
      <w:sz w:val="24"/>
      <w:szCs w:val="24"/>
      <w:lang w:val="en-US"/>
    </w:rPr>
  </w:style>
  <w:style w:type="character" w:customStyle="1" w:styleId="ListParagraphChar">
    <w:name w:val="List Paragraph Char"/>
    <w:link w:val="ListParagraph"/>
    <w:uiPriority w:val="34"/>
    <w:locked/>
    <w:rsid w:val="0022708A"/>
    <w:rPr>
      <w:rFonts w:ascii="Times New Roman" w:eastAsia="Times New Roman" w:hAnsi="Times New Roman" w:cs="Times New Roman"/>
      <w:sz w:val="21"/>
      <w:szCs w:val="20"/>
      <w:lang w:val="en-GB"/>
    </w:rPr>
  </w:style>
  <w:style w:type="character" w:customStyle="1" w:styleId="Heading4Char">
    <w:name w:val="Heading 4 Char"/>
    <w:basedOn w:val="DefaultParagraphFont"/>
    <w:link w:val="Heading4"/>
    <w:uiPriority w:val="9"/>
    <w:semiHidden/>
    <w:rsid w:val="00456AE4"/>
    <w:rPr>
      <w:rFonts w:asciiTheme="majorHAnsi" w:eastAsiaTheme="majorEastAsia" w:hAnsiTheme="majorHAnsi" w:cstheme="majorBidi"/>
      <w:i/>
      <w:iCs/>
      <w:color w:val="2E74B5" w:themeColor="accent1" w:themeShade="BF"/>
      <w:sz w:val="21"/>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241176">
      <w:bodyDiv w:val="1"/>
      <w:marLeft w:val="0"/>
      <w:marRight w:val="0"/>
      <w:marTop w:val="0"/>
      <w:marBottom w:val="0"/>
      <w:divBdr>
        <w:top w:val="none" w:sz="0" w:space="0" w:color="auto"/>
        <w:left w:val="none" w:sz="0" w:space="0" w:color="auto"/>
        <w:bottom w:val="none" w:sz="0" w:space="0" w:color="auto"/>
        <w:right w:val="none" w:sz="0" w:space="0" w:color="auto"/>
      </w:divBdr>
    </w:div>
    <w:div w:id="1687907452">
      <w:bodyDiv w:val="1"/>
      <w:marLeft w:val="0"/>
      <w:marRight w:val="0"/>
      <w:marTop w:val="0"/>
      <w:marBottom w:val="0"/>
      <w:divBdr>
        <w:top w:val="none" w:sz="0" w:space="0" w:color="auto"/>
        <w:left w:val="none" w:sz="0" w:space="0" w:color="auto"/>
        <w:bottom w:val="none" w:sz="0" w:space="0" w:color="auto"/>
        <w:right w:val="none" w:sz="0" w:space="0" w:color="auto"/>
      </w:divBdr>
    </w:div>
    <w:div w:id="1973094091">
      <w:bodyDiv w:val="1"/>
      <w:marLeft w:val="0"/>
      <w:marRight w:val="0"/>
      <w:marTop w:val="0"/>
      <w:marBottom w:val="0"/>
      <w:divBdr>
        <w:top w:val="none" w:sz="0" w:space="0" w:color="auto"/>
        <w:left w:val="none" w:sz="0" w:space="0" w:color="auto"/>
        <w:bottom w:val="none" w:sz="0" w:space="0" w:color="auto"/>
        <w:right w:val="none" w:sz="0" w:space="0" w:color="auto"/>
      </w:divBdr>
      <w:divsChild>
        <w:div w:id="1915974027">
          <w:marLeft w:val="547"/>
          <w:marRight w:val="0"/>
          <w:marTop w:val="134"/>
          <w:marBottom w:val="0"/>
          <w:divBdr>
            <w:top w:val="none" w:sz="0" w:space="0" w:color="auto"/>
            <w:left w:val="none" w:sz="0" w:space="0" w:color="auto"/>
            <w:bottom w:val="none" w:sz="0" w:space="0" w:color="auto"/>
            <w:right w:val="none" w:sz="0" w:space="0" w:color="auto"/>
          </w:divBdr>
        </w:div>
        <w:div w:id="1854341376">
          <w:marLeft w:val="547"/>
          <w:marRight w:val="0"/>
          <w:marTop w:val="134"/>
          <w:marBottom w:val="0"/>
          <w:divBdr>
            <w:top w:val="none" w:sz="0" w:space="0" w:color="auto"/>
            <w:left w:val="none" w:sz="0" w:space="0" w:color="auto"/>
            <w:bottom w:val="none" w:sz="0" w:space="0" w:color="auto"/>
            <w:right w:val="none" w:sz="0" w:space="0" w:color="auto"/>
          </w:divBdr>
        </w:div>
        <w:div w:id="530152201">
          <w:marLeft w:val="547"/>
          <w:marRight w:val="0"/>
          <w:marTop w:val="134"/>
          <w:marBottom w:val="0"/>
          <w:divBdr>
            <w:top w:val="none" w:sz="0" w:space="0" w:color="auto"/>
            <w:left w:val="none" w:sz="0" w:space="0" w:color="auto"/>
            <w:bottom w:val="none" w:sz="0" w:space="0" w:color="auto"/>
            <w:right w:val="none" w:sz="0" w:space="0" w:color="auto"/>
          </w:divBdr>
        </w:div>
        <w:div w:id="1071273788">
          <w:marLeft w:val="547"/>
          <w:marRight w:val="0"/>
          <w:marTop w:val="134"/>
          <w:marBottom w:val="0"/>
          <w:divBdr>
            <w:top w:val="none" w:sz="0" w:space="0" w:color="auto"/>
            <w:left w:val="none" w:sz="0" w:space="0" w:color="auto"/>
            <w:bottom w:val="none" w:sz="0" w:space="0" w:color="auto"/>
            <w:right w:val="none" w:sz="0" w:space="0" w:color="auto"/>
          </w:divBdr>
        </w:div>
        <w:div w:id="1585846087">
          <w:marLeft w:val="547"/>
          <w:marRight w:val="0"/>
          <w:marTop w:val="134"/>
          <w:marBottom w:val="0"/>
          <w:divBdr>
            <w:top w:val="none" w:sz="0" w:space="0" w:color="auto"/>
            <w:left w:val="none" w:sz="0" w:space="0" w:color="auto"/>
            <w:bottom w:val="none" w:sz="0" w:space="0" w:color="auto"/>
            <w:right w:val="none" w:sz="0" w:space="0" w:color="auto"/>
          </w:divBdr>
        </w:div>
        <w:div w:id="1841113975">
          <w:marLeft w:val="547"/>
          <w:marRight w:val="0"/>
          <w:marTop w:val="134"/>
          <w:marBottom w:val="0"/>
          <w:divBdr>
            <w:top w:val="none" w:sz="0" w:space="0" w:color="auto"/>
            <w:left w:val="none" w:sz="0" w:space="0" w:color="auto"/>
            <w:bottom w:val="none" w:sz="0" w:space="0" w:color="auto"/>
            <w:right w:val="none" w:sz="0" w:space="0" w:color="auto"/>
          </w:divBdr>
        </w:div>
        <w:div w:id="581260243">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8345721-29C2-4362-BD13-50814D10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7</cp:revision>
  <dcterms:created xsi:type="dcterms:W3CDTF">2016-05-13T08:39:00Z</dcterms:created>
  <dcterms:modified xsi:type="dcterms:W3CDTF">2016-05-13T20:03:00Z</dcterms:modified>
</cp:coreProperties>
</file>